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09" w:rsidRPr="00582209" w:rsidRDefault="00582209" w:rsidP="00582209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В целях ускорение темпов развития субъектов малого и среднего предпринимательства Курганской области за счет расширения и облегчения доступа к кредитным ресурсам коммерческих банков для становления и развития бизнеса.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Поручительства предоставляются Некоммерческой организацией «Гарантийный фонд малого предпринимательства Курганской области».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На получение поддержки в виде предоставления поручительств по финансовым обязательствам (кредитам, займам, договорам лизинга) имеют право претендовать субъекты малого и среднего предпринимательства (далее - МСП) и организации инфраструктуры.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Поручительство предоставляется на сумму не более 70% от объема обязательств субъекта МСП либо организации инфраструктуры перед финансовой организацией.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Сумма обязательства субъекта МСП либо организации инфраструктуры перед финансовой организацией не может быть менее 1 млн. рублей.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Размер поручительства одному субъекту МСП либо одной организации инфраструктуры не может превышать 42 млн. рублей.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Поручительство не обеспечивает исполнение субъектом МСП либо организацией инфраструктуры обязательств по уплате процентов, штрафов, комиссий, пеней за просрочку погашения задолженности по кредиту (основному долгу).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Поручительство предоставляется на возмездной основе. Максимальный размер вознаграждения за предоставление поручительства составляет не более одной третьей ставки рефинансирования (учетной ставки) Центрального банка Российской Федерации, действовавшей на дату заключения договора о предоставлении поручительства.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shd w:val="clear" w:color="auto" w:fill="FFFFFF"/>
          <w:lang w:eastAsia="ru-RU"/>
        </w:rPr>
        <w:t>Поручительство не предоставляется субъектам МСП и организациям инфраструктуры:</w:t>
      </w: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br/>
      </w:r>
    </w:p>
    <w:p w:rsidR="00582209" w:rsidRPr="00582209" w:rsidRDefault="00582209" w:rsidP="005822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proofErr w:type="gram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582209" w:rsidRPr="00582209" w:rsidRDefault="00582209" w:rsidP="005822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proofErr w:type="gram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- являющимся участниками соглашений о разделе продукции;</w:t>
      </w:r>
      <w:proofErr w:type="gramEnd"/>
    </w:p>
    <w:p w:rsidR="00582209" w:rsidRPr="00582209" w:rsidRDefault="00582209" w:rsidP="005822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- </w:t>
      </w:r>
      <w:proofErr w:type="gram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осуществляющим</w:t>
      </w:r>
      <w:proofErr w:type="gramEnd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 предпринимательскую деятельность в сфере игорного бизнеса;</w:t>
      </w:r>
    </w:p>
    <w:p w:rsidR="00582209" w:rsidRPr="00582209" w:rsidRDefault="00582209" w:rsidP="005822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proofErr w:type="gram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582209" w:rsidRPr="00582209" w:rsidRDefault="00582209" w:rsidP="00582209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proofErr w:type="gram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582209" w:rsidRPr="00582209" w:rsidRDefault="00582209" w:rsidP="00582209">
      <w:pPr>
        <w:spacing w:before="192" w:after="192" w:line="240" w:lineRule="auto"/>
        <w:jc w:val="both"/>
        <w:rPr>
          <w:rFonts w:eastAsia="Times New Roman" w:cs="Times New Roman"/>
          <w:lang w:eastAsia="ru-RU"/>
        </w:rPr>
      </w:pPr>
      <w:r w:rsidRPr="00582209">
        <w:rPr>
          <w:rFonts w:eastAsia="Times New Roman" w:cs="Times New Roman"/>
          <w:lang w:eastAsia="ru-RU"/>
        </w:rPr>
        <w:pict>
          <v:rect id="_x0000_i1025" style="width:0;height:.85pt" o:hralign="left" o:hrstd="t" o:hrnoshade="t" o:hr="t" fillcolor="#b2b2b2" stroked="f"/>
        </w:pict>
      </w:r>
    </w:p>
    <w:p w:rsidR="00582209" w:rsidRPr="00582209" w:rsidRDefault="00582209" w:rsidP="0058220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hyperlink r:id="rId5" w:history="1"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>Инвестиционная декларация НО «Гарантийный фонд малого предпринимательства Курганской области»</w:t>
        </w:r>
      </w:hyperlink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 (168 Кб, </w:t>
      </w:r>
      <w:proofErr w:type="spell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pdf</w:t>
      </w:r>
      <w:proofErr w:type="spellEnd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)</w:t>
      </w:r>
    </w:p>
    <w:p w:rsidR="00582209" w:rsidRPr="00582209" w:rsidRDefault="00582209" w:rsidP="00582209">
      <w:pPr>
        <w:shd w:val="clear" w:color="auto" w:fill="FFFFFF"/>
        <w:spacing w:before="192" w:after="192" w:line="336" w:lineRule="atLeast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pict>
          <v:rect id="_x0000_i1026" style="width:0;height:.85pt" o:hralign="center" o:hrstd="t" o:hrnoshade="t" o:hr="t" fillcolor="#b2b2b2" stroked="f"/>
        </w:pict>
      </w:r>
    </w:p>
    <w:p w:rsidR="00582209" w:rsidRPr="00582209" w:rsidRDefault="00582209" w:rsidP="0058220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hyperlink r:id="rId6" w:history="1"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>Положение о деятельности руководителя Гарантийного фонда</w:t>
        </w:r>
      </w:hyperlink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 (168 Кб, </w:t>
      </w:r>
      <w:proofErr w:type="spell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pdf</w:t>
      </w:r>
      <w:proofErr w:type="spellEnd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)</w:t>
      </w:r>
    </w:p>
    <w:p w:rsidR="00582209" w:rsidRPr="00582209" w:rsidRDefault="00582209" w:rsidP="00582209">
      <w:pPr>
        <w:shd w:val="clear" w:color="auto" w:fill="FFFFFF"/>
        <w:spacing w:before="192" w:after="192" w:line="336" w:lineRule="atLeast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pict>
          <v:rect id="_x0000_i1027" style="width:0;height:.85pt" o:hralign="center" o:hrstd="t" o:hrnoshade="t" o:hr="t" fillcolor="#b2b2b2" stroked="f"/>
        </w:pict>
      </w:r>
    </w:p>
    <w:p w:rsidR="00582209" w:rsidRPr="00582209" w:rsidRDefault="00582209" w:rsidP="0058220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hyperlink r:id="rId7" w:history="1"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 xml:space="preserve">Положение </w:t>
        </w:r>
        <w:proofErr w:type="gramStart"/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>о конкурсном отборе банков для принятия решения о заключении соглашения с банками о порядке</w:t>
        </w:r>
        <w:proofErr w:type="gramEnd"/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 xml:space="preserve"> сотрудничества по предоставлению поручительств Гарантийным фондом малого предпринимательства Курганской области</w:t>
        </w:r>
      </w:hyperlink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 (530 Кб, </w:t>
      </w:r>
      <w:proofErr w:type="spell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pdf</w:t>
      </w:r>
      <w:proofErr w:type="spellEnd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)</w:t>
      </w:r>
    </w:p>
    <w:p w:rsidR="00582209" w:rsidRPr="00582209" w:rsidRDefault="00582209" w:rsidP="00582209">
      <w:pPr>
        <w:shd w:val="clear" w:color="auto" w:fill="FFFFFF"/>
        <w:spacing w:before="192" w:after="192" w:line="336" w:lineRule="atLeast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pict>
          <v:rect id="_x0000_i1028" style="width:0;height:.85pt" o:hralign="center" o:hrstd="t" o:hrnoshade="t" o:hr="t" fillcolor="#b2b2b2" stroked="f"/>
        </w:pict>
      </w:r>
    </w:p>
    <w:p w:rsidR="00582209" w:rsidRPr="00582209" w:rsidRDefault="00582209" w:rsidP="0058220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hyperlink r:id="rId8" w:history="1"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>Положение о порядке конкурсного отбора кредитных организаций для размещения средств НО «Гарантийный Фонд малого предпринимательства Курганской области» во вклады (депозиты)</w:t>
        </w:r>
      </w:hyperlink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 (235 Кб, </w:t>
      </w:r>
      <w:proofErr w:type="spell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pdf</w:t>
      </w:r>
      <w:proofErr w:type="spellEnd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)</w:t>
      </w:r>
    </w:p>
    <w:p w:rsidR="00582209" w:rsidRPr="00582209" w:rsidRDefault="00582209" w:rsidP="00582209">
      <w:pPr>
        <w:shd w:val="clear" w:color="auto" w:fill="FFFFFF"/>
        <w:spacing w:before="192" w:after="192" w:line="336" w:lineRule="atLeast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pict>
          <v:rect id="_x0000_i1029" style="width:0;height:.85pt" o:hralign="center" o:hrstd="t" o:hrnoshade="t" o:hr="t" fillcolor="#b2b2b2" stroked="f"/>
        </w:pict>
      </w:r>
    </w:p>
    <w:p w:rsidR="00582209" w:rsidRPr="00582209" w:rsidRDefault="00582209" w:rsidP="0058220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hyperlink r:id="rId9" w:history="1"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>Регламент заключения соглашения с банками о порядке сотрудничества по предоставлению поручительств НО «Гарантийный фонд малого предпринимательства Курганской области»</w:t>
        </w:r>
      </w:hyperlink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 (444 Кб, </w:t>
      </w:r>
      <w:proofErr w:type="spell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pdf</w:t>
      </w:r>
      <w:proofErr w:type="spellEnd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)</w:t>
      </w:r>
    </w:p>
    <w:p w:rsidR="00582209" w:rsidRPr="00582209" w:rsidRDefault="00582209" w:rsidP="00582209">
      <w:pPr>
        <w:shd w:val="clear" w:color="auto" w:fill="FFFFFF"/>
        <w:spacing w:before="192" w:after="192" w:line="336" w:lineRule="atLeast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pict>
          <v:rect id="_x0000_i1030" style="width:0;height:.85pt" o:hralign="center" o:hrstd="t" o:hrnoshade="t" o:hr="t" fillcolor="#b2b2b2" stroked="f"/>
        </w:pict>
      </w:r>
    </w:p>
    <w:p w:rsidR="00582209" w:rsidRPr="00582209" w:rsidRDefault="00582209" w:rsidP="0058220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hyperlink r:id="rId10" w:history="1"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>Регламент предоставления обеспечения по банковским кредитам Гарантийным фондом малого и среднего предпринимательства Курганской области</w:t>
        </w:r>
      </w:hyperlink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 (1.2 Мб, </w:t>
      </w:r>
      <w:proofErr w:type="spell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pdf</w:t>
      </w:r>
      <w:proofErr w:type="spellEnd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)</w:t>
      </w:r>
    </w:p>
    <w:p w:rsidR="00582209" w:rsidRPr="00582209" w:rsidRDefault="00582209" w:rsidP="00582209">
      <w:pPr>
        <w:shd w:val="clear" w:color="auto" w:fill="FFFFFF"/>
        <w:spacing w:before="192" w:after="192" w:line="336" w:lineRule="atLeast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pict>
          <v:rect id="_x0000_i1031" style="width:0;height:.85pt" o:hralign="center" o:hrstd="t" o:hrnoshade="t" o:hr="t" fillcolor="#b2b2b2" stroked="f"/>
        </w:pict>
      </w:r>
    </w:p>
    <w:p w:rsidR="00582209" w:rsidRPr="00582209" w:rsidRDefault="00582209" w:rsidP="00582209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</w:pPr>
      <w:hyperlink r:id="rId11" w:history="1">
        <w:r w:rsidRPr="00582209">
          <w:rPr>
            <w:rFonts w:ascii="Calibri" w:eastAsia="Times New Roman" w:hAnsi="Calibri" w:cs="Times New Roman"/>
            <w:color w:val="0066B3"/>
            <w:spacing w:val="13"/>
            <w:sz w:val="21"/>
            <w:lang w:eastAsia="ru-RU"/>
          </w:rPr>
          <w:t>Положение о порядке расчета общего лимита поручительств НО «Гарантийный фонд малого предпринимательства Курганской области», его перерасчета и расчета лимита поручительств на банки</w:t>
        </w:r>
      </w:hyperlink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 xml:space="preserve"> (233 Кб, </w:t>
      </w:r>
      <w:proofErr w:type="spellStart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pdf</w:t>
      </w:r>
      <w:proofErr w:type="spellEnd"/>
      <w:r w:rsidRPr="00582209">
        <w:rPr>
          <w:rFonts w:ascii="Calibri" w:eastAsia="Times New Roman" w:hAnsi="Calibri" w:cs="Times New Roman"/>
          <w:color w:val="000000"/>
          <w:spacing w:val="13"/>
          <w:sz w:val="21"/>
          <w:szCs w:val="21"/>
          <w:lang w:eastAsia="ru-RU"/>
        </w:rPr>
        <w:t>)</w:t>
      </w:r>
    </w:p>
    <w:p w:rsidR="001C480E" w:rsidRDefault="001C480E" w:rsidP="00582209">
      <w:pPr>
        <w:jc w:val="both"/>
      </w:pPr>
    </w:p>
    <w:sectPr w:rsidR="001C480E" w:rsidSect="001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623D"/>
    <w:multiLevelType w:val="multilevel"/>
    <w:tmpl w:val="F138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54CB8"/>
    <w:multiLevelType w:val="multilevel"/>
    <w:tmpl w:val="84CC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2209"/>
    <w:rsid w:val="001C480E"/>
    <w:rsid w:val="003F390D"/>
    <w:rsid w:val="0058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.kurganobl.ru/assets/files/predprinimat/podderzhka/vidy/gfmpko/gfmpko_0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nomic.kurganobl.ru/assets/files/predprinimat/podderzhka/vidy/gfmpko/gfmpko_0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c.kurganobl.ru/assets/files/predprinimat/podderzhka/vidy/gfmpko/gfmpko_02.pdf" TargetMode="External"/><Relationship Id="rId11" Type="http://schemas.openxmlformats.org/officeDocument/2006/relationships/hyperlink" Target="http://www.economic.kurganobl.ru/assets/files/predprinimat/podderzhka/vidy/gfmpko/gfmpko_07.pdf" TargetMode="External"/><Relationship Id="rId5" Type="http://schemas.openxmlformats.org/officeDocument/2006/relationships/hyperlink" Target="http://www.economic.kurganobl.ru/assets/files/predprinimat/podderzhka/vidy/gfmpko/gfmpko_01.pdf" TargetMode="External"/><Relationship Id="rId10" Type="http://schemas.openxmlformats.org/officeDocument/2006/relationships/hyperlink" Target="http://www.economic.kurganobl.ru/assets/files/predprinimat/podderzhka/vidy/gfmpko/gfmpko_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c.kurganobl.ru/assets/files/predprinimat/podderzhka/vidy/gfmpko/gfmpko_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Company>DG Win&amp;Soft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Л С</dc:creator>
  <cp:keywords/>
  <dc:description/>
  <cp:lastModifiedBy>Макарова Л С</cp:lastModifiedBy>
  <cp:revision>3</cp:revision>
  <dcterms:created xsi:type="dcterms:W3CDTF">2020-03-26T04:25:00Z</dcterms:created>
  <dcterms:modified xsi:type="dcterms:W3CDTF">2020-03-26T04:26:00Z</dcterms:modified>
</cp:coreProperties>
</file>